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0283F291"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mouses over an edge, the numerical value of the weight parameter is displayed. Visualizations can be modified sliders that adjust D3.js’s force 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2421BC">
        <w:rPr>
          <w:rFonts w:cs="Times New Roman"/>
          <w:sz w:val="24"/>
          <w:szCs w:val="24"/>
          <w:highlight w:val="cyan"/>
        </w:rPr>
        <w:t xml:space="preserve">GRNsight </w:t>
      </w:r>
      <w:r w:rsidR="002421BC" w:rsidRPr="002421BC">
        <w:rPr>
          <w:rFonts w:cs="Times New Roman"/>
          <w:sz w:val="24"/>
          <w:szCs w:val="24"/>
          <w:highlight w:val="cyan"/>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n exhaustive unit testing framework using Mocha and the Chai assertion library consists of over 1</w:t>
      </w:r>
      <w:r w:rsidR="00B12B15">
        <w:rPr>
          <w:sz w:val="24"/>
          <w:szCs w:val="24"/>
        </w:rPr>
        <w:t>60</w:t>
      </w:r>
      <w:r w:rsidR="002D027C" w:rsidRPr="002B2DCB">
        <w:rPr>
          <w:sz w:val="24"/>
          <w:szCs w:val="24"/>
        </w:rPr>
        <w:t xml:space="preserve"> automat</w:t>
      </w:r>
      <w:r w:rsidR="00EA0084">
        <w:rPr>
          <w:sz w:val="24"/>
          <w:szCs w:val="24"/>
        </w:rPr>
        <w:t>ed unit tests that examine over</w:t>
      </w:r>
      <w:r w:rsidR="002D027C" w:rsidRPr="002B2DCB">
        <w:rPr>
          <w:sz w:val="24"/>
          <w:szCs w:val="24"/>
        </w:rPr>
        <w:t xml:space="preserve"> </w:t>
      </w:r>
      <w:r w:rsidR="00B12B15">
        <w:rPr>
          <w:sz w:val="24"/>
          <w:szCs w:val="24"/>
        </w:rPr>
        <w:t>52</w:t>
      </w:r>
      <w:r w:rsidR="002D027C" w:rsidRPr="002B2DCB">
        <w:rPr>
          <w:sz w:val="24"/>
          <w:szCs w:val="24"/>
        </w:rPr>
        <w:t xml:space="preserve">0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0B353DDE" w14:textId="7B145604" w:rsidR="00102598" w:rsidRPr="002B2DCB" w:rsidRDefault="00102598" w:rsidP="00124711">
      <w:pPr>
        <w:spacing w:before="240" w:after="240" w:line="480" w:lineRule="auto"/>
        <w:rPr>
          <w:sz w:val="24"/>
          <w:szCs w:val="24"/>
        </w:rPr>
      </w:pPr>
      <w:r w:rsidRPr="002B2DCB">
        <w:rPr>
          <w:sz w:val="24"/>
          <w:szCs w:val="24"/>
        </w:rPr>
        <w:t xml:space="preserve">Word count: </w:t>
      </w:r>
      <w:r w:rsidR="002421BC">
        <w:rPr>
          <w:sz w:val="24"/>
          <w:szCs w:val="24"/>
        </w:rPr>
        <w:t>495</w:t>
      </w:r>
      <w:r w:rsidR="007A48D7" w:rsidRPr="002B2DCB">
        <w:rPr>
          <w:sz w:val="24"/>
          <w:szCs w:val="24"/>
        </w:rPr>
        <w:t xml:space="preserve">, </w:t>
      </w:r>
      <w:r w:rsidRPr="002B2DCB">
        <w:rPr>
          <w:sz w:val="24"/>
          <w:szCs w:val="24"/>
        </w:rPr>
        <w:t>500 max</w:t>
      </w:r>
    </w:p>
    <w:p w14:paraId="6A090A34" w14:textId="28A55136" w:rsidR="00C60395" w:rsidRPr="00A4086B" w:rsidRDefault="00102598" w:rsidP="00124711">
      <w:pPr>
        <w:spacing w:before="240" w:after="240" w:line="480" w:lineRule="auto"/>
        <w:rPr>
          <w:sz w:val="24"/>
          <w:szCs w:val="24"/>
        </w:rPr>
      </w:pPr>
      <w:r w:rsidRPr="002B2DCB">
        <w:rPr>
          <w:sz w:val="24"/>
          <w:szCs w:val="24"/>
        </w:rPr>
        <w:t xml:space="preserve">or Character count: </w:t>
      </w:r>
      <w:r w:rsidR="002421BC">
        <w:rPr>
          <w:sz w:val="24"/>
          <w:szCs w:val="24"/>
        </w:rPr>
        <w:t>2680</w:t>
      </w:r>
      <w:r w:rsidR="00C51B75">
        <w:rPr>
          <w:sz w:val="24"/>
          <w:szCs w:val="24"/>
        </w:rPr>
        <w:t xml:space="preserve"> (no spaces), </w:t>
      </w:r>
      <w:r w:rsidR="00641DA2">
        <w:rPr>
          <w:sz w:val="24"/>
          <w:szCs w:val="24"/>
        </w:rPr>
        <w:t>3</w:t>
      </w:r>
      <w:r w:rsidR="002421BC">
        <w:rPr>
          <w:sz w:val="24"/>
          <w:szCs w:val="24"/>
        </w:rPr>
        <w:t>181</w:t>
      </w:r>
      <w:bookmarkStart w:id="0" w:name="_GoBack"/>
      <w:bookmarkEnd w:id="0"/>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them which govern the level of expression of mRNA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r w:rsidR="009A79F3" w:rsidRPr="00E460C0">
        <w:rPr>
          <w:rFonts w:cs="Times New Roman"/>
          <w:sz w:val="24"/>
          <w:szCs w:val="24"/>
          <w:highlight w:val="yellow"/>
        </w:rPr>
        <w:t>Dahlquist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r w:rsidR="00655618" w:rsidRPr="00655618">
        <w:rPr>
          <w:rFonts w:cs="Times New Roman"/>
          <w:sz w:val="24"/>
          <w:szCs w:val="24"/>
          <w:highlight w:val="yellow"/>
        </w:rPr>
        <w:t>Dahlquist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0554B694" w:rsidR="00754054" w:rsidRDefault="00320A5A" w:rsidP="00966A48">
      <w:pPr>
        <w:spacing w:before="240" w:after="240" w:line="480" w:lineRule="auto"/>
        <w:ind w:firstLine="720"/>
        <w:rPr>
          <w:sz w:val="24"/>
          <w:szCs w:val="24"/>
        </w:rPr>
      </w:pPr>
      <w:r w:rsidRPr="00586156">
        <w:rPr>
          <w:sz w:val="24"/>
          <w:szCs w:val="24"/>
          <w:highlight w:val="yellow"/>
        </w:rPr>
        <w:t>Pavlopoulos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r w:rsidR="00586156" w:rsidRPr="00586156">
        <w:rPr>
          <w:sz w:val="24"/>
          <w:szCs w:val="24"/>
          <w:highlight w:val="yellow"/>
        </w:rPr>
        <w:t>Pavlopoulos et al. (2015)</w:t>
      </w:r>
      <w:r w:rsidR="00586156">
        <w:rPr>
          <w:sz w:val="24"/>
          <w:szCs w:val="24"/>
        </w:rPr>
        <w:t xml:space="preserve"> showed that t</w:t>
      </w:r>
      <w:r w:rsidR="00431819">
        <w:rPr>
          <w:sz w:val="24"/>
          <w:szCs w:val="24"/>
        </w:rPr>
        <w:t>he open source software, Cytoscape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Cytoscape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user can begin to visualize networks.  Another open source application, Gephi (</w:t>
      </w:r>
      <w:r w:rsidR="00431819" w:rsidRPr="002D2023">
        <w:rPr>
          <w:sz w:val="24"/>
          <w:szCs w:val="24"/>
          <w:highlight w:val="yellow"/>
        </w:rPr>
        <w:t>Bastian, Heymann, and Jacomy, 2009</w:t>
      </w:r>
      <w:r w:rsidR="00431819" w:rsidRPr="002D2023">
        <w:rPr>
          <w:sz w:val="24"/>
          <w:szCs w:val="24"/>
        </w:rPr>
        <w:t>)</w:t>
      </w:r>
      <w:r w:rsidR="00431819">
        <w:rPr>
          <w:sz w:val="24"/>
          <w:szCs w:val="24"/>
        </w:rPr>
        <w:t>, is a general graph visualization tool</w:t>
      </w:r>
      <w:r w:rsidR="00C36973">
        <w:rPr>
          <w:sz w:val="24"/>
          <w:szCs w:val="24"/>
        </w:rPr>
        <w:t xml:space="preserve"> 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w:t>
      </w:r>
      <w:r w:rsidR="00C36973" w:rsidRPr="00C36973">
        <w:rPr>
          <w:i/>
          <w:sz w:val="24"/>
          <w:szCs w:val="24"/>
        </w:rPr>
        <w:lastRenderedPageBreak/>
        <w:t>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r w:rsidR="002C5D72">
        <w:rPr>
          <w:sz w:val="24"/>
          <w:szCs w:val="24"/>
        </w:rPr>
        <w:t xml:space="preserve">  </w:t>
      </w:r>
    </w:p>
    <w:p w14:paraId="66A35848" w14:textId="3DC9D56D"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r w:rsidR="00435937" w:rsidRPr="00435937">
        <w:rPr>
          <w:sz w:val="24"/>
          <w:szCs w:val="24"/>
          <w:highlight w:val="yellow"/>
        </w:rPr>
        <w:t>Schultheiss,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lastRenderedPageBreak/>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lastRenderedPageBreak/>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lastRenderedPageBreak/>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4B962D44"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FD7CCA">
        <w:rPr>
          <w:sz w:val="24"/>
          <w:szCs w:val="24"/>
        </w:rPr>
        <w:t xml:space="preserve"> 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992B08">
        <w:rPr>
          <w:sz w:val="24"/>
          <w:szCs w:val="24"/>
        </w:rPr>
        <w:t xml:space="preserve"> </w:t>
      </w:r>
      <w:r w:rsidR="00992B08" w:rsidRPr="00992B08">
        <w:rPr>
          <w:sz w:val="24"/>
          <w:szCs w:val="24"/>
          <w:highlight w:val="cyan"/>
        </w:rPr>
        <w:t>[@dondi, do you want to mention node-xlsx here?]</w:t>
      </w:r>
      <w:r w:rsidR="00FD7CCA">
        <w:rPr>
          <w:sz w:val="24"/>
          <w:szCs w:val="24"/>
        </w:rPr>
        <w:t xml:space="preserve">. 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lastRenderedPageBreak/>
        <w:drawing>
          <wp:inline distT="0" distB="0" distL="0" distR="0" wp14:anchorId="5E3F66FA" wp14:editId="5DEEF938">
            <wp:extent cx="5943600" cy="2393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393315"/>
                    </a:xfrm>
                    <a:prstGeom prst="rect">
                      <a:avLst/>
                    </a:prstGeom>
                  </pic:spPr>
                </pic:pic>
              </a:graphicData>
            </a:graphic>
          </wp:inline>
        </w:drawing>
      </w:r>
    </w:p>
    <w:p w14:paraId="6B00022B" w14:textId="255DFF6C"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r w:rsidR="00F62822">
        <w:rPr>
          <w:sz w:val="24"/>
          <w:szCs w:val="24"/>
        </w:rPr>
        <w:t xml:space="preserve"> [</w:t>
      </w:r>
      <w:r w:rsidR="00F62822" w:rsidRPr="00F62822">
        <w:rPr>
          <w:sz w:val="24"/>
          <w:szCs w:val="24"/>
          <w:highlight w:val="cyan"/>
        </w:rPr>
        <w:t>@dondi, do w</w:t>
      </w:r>
      <w:r w:rsidR="002E0102">
        <w:rPr>
          <w:sz w:val="24"/>
          <w:szCs w:val="24"/>
          <w:highlight w:val="cyan"/>
        </w:rPr>
        <w:t>e want to say Excel workbook in this figure</w:t>
      </w:r>
      <w:r w:rsidR="00F62822" w:rsidRPr="00F62822">
        <w:rPr>
          <w:sz w:val="24"/>
          <w:szCs w:val="24"/>
          <w:highlight w:val="cyan"/>
        </w:rPr>
        <w:t xml:space="preserve"> instead of spreadsheet?</w:t>
      </w:r>
      <w:r w:rsidR="00F62822">
        <w:rPr>
          <w:sz w:val="24"/>
          <w:szCs w:val="24"/>
        </w:rPr>
        <w:t>]</w:t>
      </w:r>
    </w:p>
    <w:p w14:paraId="7532D584" w14:textId="6BD270CF"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Graph visualization is facilitated by</w:t>
      </w:r>
      <w:r w:rsidR="002A10C5">
        <w:rPr>
          <w:sz w:val="24"/>
          <w:szCs w:val="24"/>
        </w:rPr>
        <w:t xml:space="preserve"> the Data-Driven Documents </w:t>
      </w:r>
      <w:r>
        <w:rPr>
          <w:sz w:val="24"/>
          <w:szCs w:val="24"/>
        </w:rPr>
        <w:t xml:space="preserve">JavaScript library </w:t>
      </w:r>
      <w:r w:rsidR="002A10C5">
        <w:rPr>
          <w:sz w:val="24"/>
          <w:szCs w:val="24"/>
        </w:rPr>
        <w:t xml:space="preserve">(D3.js; </w:t>
      </w:r>
      <w:r w:rsidRPr="00E460C0">
        <w:rPr>
          <w:rFonts w:eastAsia="Times New Roman" w:cs="Times New Roman"/>
          <w:sz w:val="24"/>
          <w:szCs w:val="24"/>
          <w:highlight w:val="yellow"/>
        </w:rPr>
        <w:t>Bostock, Ogievetsky, and Heer, 2011</w:t>
      </w:r>
      <w:r>
        <w:rPr>
          <w:sz w:val="24"/>
          <w:szCs w:val="24"/>
        </w:rPr>
        <w:t>).</w:t>
      </w:r>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routines </w:t>
      </w:r>
      <w:r w:rsidR="001F3578">
        <w:rPr>
          <w:sz w:val="24"/>
          <w:szCs w:val="24"/>
        </w:rPr>
        <w:t>which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The user can then drag the rectangles to improve the graph’s layout. </w:t>
      </w:r>
      <w:r w:rsidR="00F02503">
        <w:rPr>
          <w:sz w:val="24"/>
          <w:szCs w:val="24"/>
        </w:rPr>
        <w:t xml:space="preserve">Customizations to the graph display are described further below.  </w:t>
      </w:r>
      <w:r w:rsidR="004B410C" w:rsidRPr="00AD676D">
        <w:rPr>
          <w:sz w:val="24"/>
          <w:szCs w:val="24"/>
          <w:highlight w:val="cyan"/>
        </w:rPr>
        <w:t>While Cytoscape</w:t>
      </w:r>
      <w:r w:rsidR="00AD676D" w:rsidRPr="00AD676D">
        <w:rPr>
          <w:sz w:val="24"/>
          <w:szCs w:val="24"/>
          <w:highlight w:val="cyan"/>
        </w:rPr>
        <w:t>.js</w:t>
      </w:r>
      <w:r w:rsidR="004B410C" w:rsidRPr="00AD676D">
        <w:rPr>
          <w:sz w:val="24"/>
          <w:szCs w:val="24"/>
          <w:highlight w:val="cyan"/>
        </w:rPr>
        <w:t xml:space="preserve"> (</w:t>
      </w:r>
      <w:r w:rsidR="00AD676D" w:rsidRPr="00AD676D">
        <w:rPr>
          <w:sz w:val="24"/>
          <w:szCs w:val="24"/>
          <w:highlight w:val="cyan"/>
        </w:rPr>
        <w:t xml:space="preserve">Franz et al., 2016) is also an open source network visualization engine, we chose to build GRNsight with D3.js because of the future possibility of implementing other D3.js visualizations and because of the </w:t>
      </w:r>
      <w:r w:rsidR="00AD676D">
        <w:rPr>
          <w:sz w:val="24"/>
          <w:szCs w:val="24"/>
          <w:highlight w:val="cyan"/>
        </w:rPr>
        <w:t xml:space="preserve">prior familiarity with the D3.js </w:t>
      </w:r>
      <w:r w:rsidR="00AD676D">
        <w:rPr>
          <w:sz w:val="24"/>
          <w:szCs w:val="24"/>
          <w:highlight w:val="cyan"/>
        </w:rPr>
        <w:lastRenderedPageBreak/>
        <w:t>library by one of</w:t>
      </w:r>
      <w:r w:rsidR="00AD676D" w:rsidRPr="00AD676D">
        <w:rPr>
          <w:sz w:val="24"/>
          <w:szCs w:val="24"/>
          <w:highlight w:val="cyan"/>
        </w:rPr>
        <w:t xml:space="preserve"> the co-authors.</w:t>
      </w:r>
      <w:r w:rsidR="00AD676D">
        <w:rPr>
          <w:sz w:val="24"/>
          <w:szCs w:val="24"/>
        </w:rPr>
        <w:t xml:space="preserve"> </w:t>
      </w:r>
      <w:r w:rsidR="00AD676D" w:rsidRPr="00AD676D">
        <w:rPr>
          <w:sz w:val="24"/>
          <w:szCs w:val="24"/>
          <w:highlight w:val="cyan"/>
        </w:rPr>
        <w:t>[@dondi, I think we need some type of statement about this somewhere in the paper to pre-emptively address the “why not Cytoscape?” questions of potential reviewers.  Please edit as you see fit.]</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39EBD862" w:rsidR="001E4822" w:rsidRDefault="003314BA" w:rsidP="001E4822">
      <w:pPr>
        <w:spacing w:before="240" w:after="240" w:line="480" w:lineRule="auto"/>
        <w:ind w:firstLine="720"/>
        <w:rPr>
          <w:sz w:val="24"/>
          <w:szCs w:val="24"/>
        </w:rPr>
      </w:pPr>
      <w:r w:rsidRPr="00A4086B">
        <w:rPr>
          <w:sz w:val="24"/>
          <w:szCs w:val="24"/>
        </w:rPr>
        <w:t>GRNsight’s diagrams are based on D3.js’s force graph layout algorithm</w:t>
      </w:r>
      <w:r w:rsidR="001E4822">
        <w:rPr>
          <w:sz w:val="24"/>
          <w:szCs w:val="24"/>
        </w:rPr>
        <w:t xml:space="preserve"> (</w:t>
      </w:r>
      <w:r w:rsidR="001E4822" w:rsidRPr="00E460C0">
        <w:rPr>
          <w:rFonts w:eastAsia="Times New Roman" w:cs="Times New Roman"/>
          <w:sz w:val="24"/>
          <w:szCs w:val="24"/>
          <w:highlight w:val="yellow"/>
        </w:rPr>
        <w:t>Bostock, Ogievetsky, and Heer,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1B26A60E"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add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As is expected in biological pathway diagrams</w:t>
      </w:r>
      <w:r w:rsidR="001A7A8B">
        <w:rPr>
          <w:sz w:val="24"/>
          <w:szCs w:val="24"/>
        </w:rPr>
        <w:t xml:space="preserve"> (</w:t>
      </w:r>
      <w:r w:rsidR="001A7A8B" w:rsidRPr="001A7A8B">
        <w:rPr>
          <w:sz w:val="24"/>
          <w:szCs w:val="24"/>
          <w:highlight w:val="yellow"/>
        </w:rPr>
        <w:t>Gostner et al., 2014</w:t>
      </w:r>
      <w:r w:rsidR="001A7A8B">
        <w:rPr>
          <w:sz w:val="24"/>
          <w:szCs w:val="24"/>
        </w:rPr>
        <w:t>)</w:t>
      </w:r>
      <w:r w:rsidR="009D0CDF">
        <w:rPr>
          <w:sz w:val="24"/>
          <w:szCs w:val="24"/>
        </w:rPr>
        <w:t>,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values by the </w:t>
      </w:r>
      <w:r w:rsidR="0078020C" w:rsidRPr="0078020C">
        <w:rPr>
          <w:sz w:val="24"/>
          <w:szCs w:val="24"/>
        </w:rPr>
        <w:lastRenderedPageBreak/>
        <w:t xml:space="preserve">absolute value of the maximum weight in the </w:t>
      </w:r>
      <w:r w:rsidR="00A10456">
        <w:rPr>
          <w:sz w:val="24"/>
          <w:szCs w:val="24"/>
        </w:rPr>
        <w:t xml:space="preserve">adjacency </w:t>
      </w:r>
      <w:r w:rsidR="0078020C" w:rsidRPr="0078020C">
        <w:rPr>
          <w:sz w:val="24"/>
          <w:szCs w:val="24"/>
        </w:rPr>
        <w:t>matrix to normalize all the values to between zero and 1. 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0FFD893A"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6801CB" w:rsidRPr="000923E7">
        <w:rPr>
          <w:sz w:val="24"/>
          <w:szCs w:val="24"/>
          <w:highlight w:val="cyan"/>
        </w:rPr>
        <w:t>Shneiderman</w:t>
      </w:r>
      <w:r w:rsidR="0078160A">
        <w:rPr>
          <w:sz w:val="24"/>
          <w:szCs w:val="24"/>
          <w:highlight w:val="cyan"/>
        </w:rPr>
        <w:t xml:space="preserve"> et al.,</w:t>
      </w:r>
      <w:r w:rsidR="006801CB" w:rsidRPr="000923E7">
        <w:rPr>
          <w:sz w:val="24"/>
          <w:szCs w:val="24"/>
          <w:highlight w:val="cyan"/>
        </w:rPr>
        <w:t xml:space="preserve"> </w:t>
      </w:r>
      <w:r w:rsidR="006801CB" w:rsidRPr="003A4291">
        <w:rPr>
          <w:sz w:val="24"/>
          <w:szCs w:val="24"/>
          <w:highlight w:val="cyan"/>
        </w:rPr>
        <w:t>2</w:t>
      </w:r>
      <w:r w:rsidR="003A4291" w:rsidRPr="003A4291">
        <w:rPr>
          <w:sz w:val="24"/>
          <w:szCs w:val="24"/>
          <w:highlight w:val="cyan"/>
        </w:rPr>
        <w:t>010</w:t>
      </w:r>
      <w:r w:rsidR="006801CB">
        <w:rPr>
          <w:sz w:val="24"/>
          <w:szCs w:val="24"/>
        </w:rPr>
        <w:t xml:space="preserve">; </w:t>
      </w:r>
      <w:r w:rsidR="006801CB" w:rsidRPr="005503B1">
        <w:rPr>
          <w:sz w:val="24"/>
          <w:szCs w:val="24"/>
          <w:highlight w:val="cyan"/>
        </w:rPr>
        <w:t>Norman 2013</w:t>
      </w:r>
      <w:r w:rsidR="006801CB">
        <w:rPr>
          <w:sz w:val="24"/>
          <w:szCs w:val="24"/>
        </w:rPr>
        <w:t xml:space="preserve">; </w:t>
      </w:r>
      <w:r w:rsidR="006801CB" w:rsidRPr="00602190">
        <w:rPr>
          <w:sz w:val="24"/>
          <w:szCs w:val="24"/>
          <w:highlight w:val="cyan"/>
        </w:rPr>
        <w:t>Nielsen 1993</w:t>
      </w:r>
      <w:r w:rsidR="00357C77">
        <w:rPr>
          <w:sz w:val="24"/>
          <w:szCs w:val="24"/>
        </w:rPr>
        <w:t xml:space="preserve">) in alignment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6AB3D64B"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GitHub. </w:t>
      </w:r>
      <w:r w:rsidR="00C004E1">
        <w:rPr>
          <w:sz w:val="24"/>
          <w:szCs w:val="24"/>
        </w:rPr>
        <w:t>We have</w:t>
      </w:r>
      <w:r w:rsidR="003314BA" w:rsidRPr="00A4086B">
        <w:rPr>
          <w:sz w:val="24"/>
          <w:szCs w:val="24"/>
        </w:rPr>
        <w:t xml:space="preserve"> implemented an exhaustive unit testing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r w:rsidR="00FA03A2" w:rsidRPr="004D61B7">
        <w:rPr>
          <w:sz w:val="24"/>
          <w:szCs w:val="24"/>
          <w:highlight w:val="cyan"/>
        </w:rPr>
        <w:t>Martin 2008</w:t>
      </w:r>
      <w:r w:rsidR="004D61B7" w:rsidRPr="004D61B7">
        <w:rPr>
          <w:sz w:val="24"/>
          <w:szCs w:val="24"/>
          <w:highlight w:val="cyan"/>
        </w:rPr>
        <w:t xml:space="preserve">; </w:t>
      </w:r>
      <w:r w:rsidR="00154F78">
        <w:rPr>
          <w:sz w:val="24"/>
          <w:szCs w:val="24"/>
          <w:highlight w:val="cyan"/>
        </w:rPr>
        <w:t xml:space="preserve">@dondi, do you mean </w:t>
      </w:r>
      <w:r w:rsidR="004D61B7" w:rsidRPr="004D61B7">
        <w:rPr>
          <w:sz w:val="24"/>
          <w:szCs w:val="24"/>
          <w:highlight w:val="cyan"/>
        </w:rPr>
        <w:t>Martin &amp; Melnik, 2008?</w:t>
      </w:r>
      <w:r w:rsidR="00D72403">
        <w:rPr>
          <w:sz w:val="24"/>
          <w:szCs w:val="24"/>
        </w:rPr>
        <w:t>)</w:t>
      </w:r>
      <w:r w:rsidR="003314BA" w:rsidRPr="00A4086B">
        <w:rPr>
          <w:sz w:val="24"/>
          <w:szCs w:val="24"/>
        </w:rPr>
        <w:t xml:space="preserve">. This framework consists of over </w:t>
      </w:r>
      <w:r w:rsidR="00A057AA">
        <w:rPr>
          <w:sz w:val="24"/>
          <w:szCs w:val="24"/>
        </w:rPr>
        <w:t>160</w:t>
      </w:r>
      <w:r w:rsidR="003314BA" w:rsidRPr="00A4086B">
        <w:rPr>
          <w:sz w:val="24"/>
          <w:szCs w:val="24"/>
        </w:rPr>
        <w:t xml:space="preserve"> automated unit tests that examine </w:t>
      </w:r>
      <w:r w:rsidR="00B76857">
        <w:rPr>
          <w:sz w:val="24"/>
          <w:szCs w:val="24"/>
        </w:rPr>
        <w:t xml:space="preserve">over </w:t>
      </w:r>
      <w:r w:rsidR="00A057AA">
        <w:rPr>
          <w:sz w:val="24"/>
          <w:szCs w:val="24"/>
        </w:rPr>
        <w:t xml:space="preserve">520 </w:t>
      </w:r>
      <w:r w:rsidR="003314BA" w:rsidRPr="00A4086B">
        <w:rPr>
          <w:sz w:val="24"/>
          <w:szCs w:val="24"/>
        </w:rPr>
        <w:t xml:space="preserve">test files to ensure that the program is running as </w:t>
      </w:r>
      <w:r w:rsidR="003314BA" w:rsidRPr="00A4086B">
        <w:rPr>
          <w:sz w:val="24"/>
          <w:szCs w:val="24"/>
        </w:rPr>
        <w:lastRenderedPageBreak/>
        <w:t>expected</w:t>
      </w:r>
      <w:r w:rsidR="00A057AA">
        <w:rPr>
          <w:sz w:val="24"/>
          <w:szCs w:val="24"/>
        </w:rPr>
        <w:t xml:space="preserve"> </w:t>
      </w:r>
      <w:r w:rsidR="00A057AA" w:rsidRPr="00D72403">
        <w:rPr>
          <w:sz w:val="24"/>
          <w:szCs w:val="24"/>
          <w:highlight w:val="cyan"/>
        </w:rPr>
        <w:t>[note: this is from the beta branch; master has 134 unit tests—@dondi]</w:t>
      </w:r>
      <w:r w:rsidR="003314BA" w:rsidRPr="00A4086B">
        <w:rPr>
          <w:sz w:val="24"/>
          <w:szCs w:val="24"/>
        </w:rPr>
        <w:t xml:space="preserve">.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3BD49047" w:rsidR="00E0632F" w:rsidRDefault="00E0632F" w:rsidP="009F7917">
            <w:pPr>
              <w:spacing w:before="240" w:after="240" w:line="480" w:lineRule="auto"/>
              <w:rPr>
                <w:sz w:val="24"/>
                <w:szCs w:val="24"/>
              </w:rPr>
            </w:pPr>
            <w:r>
              <w:rPr>
                <w:sz w:val="24"/>
                <w:szCs w:val="24"/>
              </w:rPr>
              <w:t>117/162 (72.2%)</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7114CE74" w:rsidR="00E0632F" w:rsidRDefault="00E0632F" w:rsidP="009F7917">
            <w:pPr>
              <w:spacing w:before="240" w:after="240" w:line="480" w:lineRule="auto"/>
              <w:rPr>
                <w:sz w:val="24"/>
                <w:szCs w:val="24"/>
              </w:rPr>
            </w:pPr>
            <w:r>
              <w:rPr>
                <w:sz w:val="24"/>
                <w:szCs w:val="24"/>
              </w:rPr>
              <w:t>60/68 (88.2%)</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583EA856" w:rsidR="00E0632F" w:rsidRDefault="00E0632F" w:rsidP="009F7917">
            <w:pPr>
              <w:spacing w:before="240" w:after="240" w:line="480" w:lineRule="auto"/>
              <w:rPr>
                <w:sz w:val="24"/>
                <w:szCs w:val="24"/>
              </w:rPr>
            </w:pPr>
            <w:r>
              <w:rPr>
                <w:sz w:val="24"/>
                <w:szCs w:val="24"/>
              </w:rPr>
              <w:t>117/161 (72.7%)</w:t>
            </w:r>
          </w:p>
        </w:tc>
      </w:tr>
    </w:tbl>
    <w:p w14:paraId="4F99089B" w14:textId="70463BB6"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980F04">
        <w:rPr>
          <w:sz w:val="24"/>
          <w:szCs w:val="24"/>
        </w:rPr>
        <w:t xml:space="preserve"> </w:t>
      </w:r>
      <w:r w:rsidR="00980F04" w:rsidRPr="00053042">
        <w:rPr>
          <w:sz w:val="24"/>
          <w:szCs w:val="24"/>
          <w:highlight w:val="cyan"/>
        </w:rPr>
        <w:t>[also beta; master is slightly lower (70/86/62/71)—@dondi]</w:t>
      </w:r>
      <w:r w:rsidRPr="00053042">
        <w:rPr>
          <w:sz w:val="24"/>
          <w:szCs w:val="24"/>
          <w:highlight w:val="cyan"/>
        </w:rPr>
        <w:t xml:space="preserve"> [We need an explanation of wh</w:t>
      </w:r>
      <w:r w:rsidR="00DE50D7">
        <w:rPr>
          <w:sz w:val="24"/>
          <w:szCs w:val="24"/>
          <w:highlight w:val="cyan"/>
        </w:rPr>
        <w:t>at t</w:t>
      </w:r>
      <w:r w:rsidR="00AB4FA4">
        <w:rPr>
          <w:sz w:val="24"/>
          <w:szCs w:val="24"/>
          <w:highlight w:val="cyan"/>
        </w:rPr>
        <w:t>he fractional numbers are—@kdahl</w:t>
      </w:r>
      <w:r w:rsidR="00DE50D7">
        <w:rPr>
          <w:sz w:val="24"/>
          <w:szCs w:val="24"/>
          <w:highlight w:val="cyan"/>
        </w:rPr>
        <w:t>quist</w:t>
      </w:r>
      <w:r w:rsidRPr="00053042">
        <w:rPr>
          <w:sz w:val="24"/>
          <w:szCs w:val="24"/>
          <w:highlight w:val="cyan"/>
        </w:rPr>
        <w:t>]</w:t>
      </w:r>
    </w:p>
    <w:p w14:paraId="2517DF45" w14:textId="1E247C5B"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recommended by user interface guidelines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lastRenderedPageBreak/>
        <w:t>Availability</w:t>
      </w:r>
    </w:p>
    <w:p w14:paraId="01F255EB" w14:textId="6FBCC6A8"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Chrome version 43.0.2357.65 or higher and Mozilla Firefox version 38.0.1 or higher on the 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Unported License.  GRNsight code is </w:t>
      </w:r>
      <w:r w:rsidRPr="00C754BD">
        <w:rPr>
          <w:sz w:val="24"/>
          <w:szCs w:val="24"/>
        </w:rPr>
        <w:t>available under the open source BSD license from our GitHub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r w:rsidR="00C754BD" w:rsidRPr="008B048B">
        <w:rPr>
          <w:rFonts w:eastAsia="Times New Roman" w:cs="Times New Roman"/>
          <w:sz w:val="24"/>
          <w:szCs w:val="24"/>
          <w:highlight w:val="cyan"/>
        </w:rPr>
        <w:t>28 December 2015</w:t>
      </w:r>
      <w:r w:rsidR="00C754BD" w:rsidRPr="00C754BD">
        <w:rPr>
          <w:rFonts w:eastAsia="Times New Roman" w:cs="Times New Roman"/>
          <w:sz w:val="24"/>
          <w:szCs w:val="24"/>
        </w:rPr>
        <w:t xml:space="preserve">, the GRNsight home page has been accessed </w:t>
      </w:r>
      <w:r w:rsidR="00C754BD" w:rsidRPr="008B048B">
        <w:rPr>
          <w:rFonts w:eastAsia="Times New Roman" w:cs="Times New Roman"/>
          <w:sz w:val="24"/>
          <w:szCs w:val="24"/>
          <w:highlight w:val="cyan"/>
        </w:rPr>
        <w:t>1820</w:t>
      </w:r>
      <w:r w:rsidR="00C754BD" w:rsidRPr="00C754BD">
        <w:rPr>
          <w:rFonts w:eastAsia="Times New Roman" w:cs="Times New Roman"/>
          <w:sz w:val="24"/>
          <w:szCs w:val="24"/>
        </w:rPr>
        <w:t xml:space="preserve"> times, and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have been uploaded and viewed with GRNsight. Of these </w:t>
      </w:r>
      <w:r w:rsidR="00C754BD" w:rsidRPr="008B048B">
        <w:rPr>
          <w:rFonts w:eastAsia="Times New Roman" w:cs="Times New Roman"/>
          <w:sz w:val="24"/>
          <w:szCs w:val="24"/>
          <w:highlight w:val="cyan"/>
        </w:rPr>
        <w:t>1259</w:t>
      </w:r>
      <w:r w:rsidR="00C754BD" w:rsidRPr="00C754BD">
        <w:rPr>
          <w:rFonts w:eastAsia="Times New Roman" w:cs="Times New Roman"/>
          <w:sz w:val="24"/>
          <w:szCs w:val="24"/>
        </w:rPr>
        <w:t xml:space="preserve"> 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C754BD" w:rsidRPr="008B048B">
        <w:rPr>
          <w:rFonts w:eastAsia="Times New Roman" w:cs="Times New Roman"/>
          <w:sz w:val="24"/>
          <w:szCs w:val="24"/>
          <w:highlight w:val="cyan"/>
        </w:rPr>
        <w:t>45</w:t>
      </w:r>
      <w:r w:rsidR="00C754BD" w:rsidRPr="00C754BD">
        <w:rPr>
          <w:rFonts w:eastAsia="Times New Roman" w:cs="Times New Roman"/>
          <w:sz w:val="24"/>
          <w:szCs w:val="24"/>
        </w:rPr>
        <w:t xml:space="preserve"> 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lastRenderedPageBreak/>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t>GRNsight Facilitates Interpretation of GRN Model Results</w:t>
      </w:r>
    </w:p>
    <w:p w14:paraId="57C180D5" w14:textId="4254D887"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r w:rsidR="009C28A8" w:rsidRPr="00322102">
        <w:rPr>
          <w:sz w:val="24"/>
          <w:szCs w:val="24"/>
          <w:highlight w:val="yellow"/>
        </w:rPr>
        <w:t>Schade et al. 2004</w:t>
      </w:r>
      <w:r w:rsidR="009C28A8" w:rsidRPr="009C28A8">
        <w:rPr>
          <w:sz w:val="24"/>
          <w:szCs w:val="24"/>
        </w:rPr>
        <w:t xml:space="preserve"> data). These two files describe gene regulatory networks from budding yeast, </w:t>
      </w:r>
      <w:r w:rsidR="009C28A8" w:rsidRPr="009F7917">
        <w:rPr>
          <w:i/>
          <w:sz w:val="24"/>
          <w:szCs w:val="24"/>
        </w:rPr>
        <w:t>Saccharomyces cerevisiae</w:t>
      </w:r>
      <w:r w:rsidR="008B048B">
        <w:rPr>
          <w:sz w:val="24"/>
          <w:szCs w:val="24"/>
        </w:rPr>
        <w:t>,</w:t>
      </w:r>
      <w:r w:rsidR="009C28A8" w:rsidRPr="009C28A8">
        <w:rPr>
          <w:sz w:val="24"/>
          <w:szCs w:val="24"/>
        </w:rPr>
        <w:t xml:space="preserve"> correspond to supplementary data published </w:t>
      </w:r>
      <w:r>
        <w:rPr>
          <w:sz w:val="24"/>
          <w:szCs w:val="24"/>
        </w:rPr>
        <w:t xml:space="preserve">by </w:t>
      </w:r>
      <w:r w:rsidRPr="00322102">
        <w:rPr>
          <w:sz w:val="24"/>
          <w:szCs w:val="24"/>
          <w:highlight w:val="yellow"/>
        </w:rPr>
        <w:t>Dahlquist et al. (2015)</w:t>
      </w:r>
      <w:r w:rsidR="009C28A8" w:rsidRPr="009C28A8">
        <w:rPr>
          <w:sz w:val="24"/>
          <w:szCs w:val="24"/>
        </w:rPr>
        <w:t>, and when displayed by GRNsight, represent interactive versions of Figures 1 and 8 of that paper respectively.</w:t>
      </w:r>
    </w:p>
    <w:p w14:paraId="357858DA" w14:textId="56161ED4" w:rsidR="009C28A8" w:rsidRDefault="00D14CEA" w:rsidP="00D757C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r w:rsidR="009C28A8" w:rsidRPr="00322102">
        <w:rPr>
          <w:sz w:val="24"/>
          <w:szCs w:val="24"/>
          <w:highlight w:val="yellow"/>
        </w:rPr>
        <w:t>Schade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 1 and Fig.</w:t>
      </w:r>
      <w:r w:rsidR="009C28A8" w:rsidRPr="009C28A8">
        <w:rPr>
          <w:sz w:val="24"/>
          <w:szCs w:val="24"/>
        </w:rPr>
        <w:t xml:space="preserve"> 8 of </w:t>
      </w:r>
      <w:r w:rsidR="009C28A8" w:rsidRPr="00322102">
        <w:rPr>
          <w:sz w:val="24"/>
          <w:szCs w:val="24"/>
          <w:highlight w:val="yellow"/>
        </w:rPr>
        <w:t>Dahlquist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p w14:paraId="1D628FB4" w14:textId="77777777" w:rsidR="00D757C7" w:rsidRDefault="00D757C7" w:rsidP="00124711">
      <w:pPr>
        <w:spacing w:before="240" w:after="240" w:line="480" w:lineRule="auto"/>
        <w:rPr>
          <w:b/>
          <w:sz w:val="24"/>
          <w:szCs w:val="24"/>
        </w:rPr>
      </w:pPr>
      <w:r>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Default="00E400A4" w:rsidP="00124711">
      <w:pPr>
        <w:spacing w:before="240" w:after="240" w:line="480" w:lineRule="auto"/>
        <w:rPr>
          <w:sz w:val="24"/>
          <w:szCs w:val="24"/>
        </w:rPr>
      </w:pPr>
      <w:r w:rsidRPr="009E5D05">
        <w:rPr>
          <w:b/>
          <w:sz w:val="24"/>
          <w:szCs w:val="24"/>
        </w:rPr>
        <w:t xml:space="preserve">Figure </w:t>
      </w:r>
      <w:r w:rsidR="005778AC" w:rsidRPr="009E5D05">
        <w:rPr>
          <w:b/>
          <w:sz w:val="24"/>
          <w:szCs w:val="24"/>
        </w:rPr>
        <w:t>5</w:t>
      </w:r>
      <w:r w:rsidR="00105BED" w:rsidRPr="009E5D05">
        <w:rPr>
          <w:b/>
          <w:sz w:val="24"/>
          <w:szCs w:val="24"/>
        </w:rPr>
        <w:t>:</w:t>
      </w:r>
      <w:r w:rsidR="00105BED" w:rsidRPr="00105BED">
        <w:rPr>
          <w:sz w:val="24"/>
          <w:szCs w:val="24"/>
        </w:rPr>
        <w:t xml:space="preserve"> Side-by-side comparison of the same adjacency matrices laid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r w:rsidR="00105BED" w:rsidRPr="005B1612">
        <w:rPr>
          <w:sz w:val="24"/>
          <w:szCs w:val="24"/>
          <w:highlight w:val="yellow"/>
        </w:rPr>
        <w:t>Dahlquist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r w:rsidR="00105BED" w:rsidRPr="00322102">
        <w:rPr>
          <w:sz w:val="24"/>
          <w:szCs w:val="24"/>
          <w:highlight w:val="yellow"/>
        </w:rPr>
        <w:t>Schade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 xml:space="preserve">graph from (D) manually manipulated from within GRNsight; F) the same adjacency matrix from (D) and (E) laid out entirely by hand in Adobe Illustrator, corresponding to Figure 8 of </w:t>
      </w:r>
      <w:r w:rsidR="00105BED" w:rsidRPr="005B1612">
        <w:rPr>
          <w:sz w:val="24"/>
          <w:szCs w:val="24"/>
          <w:highlight w:val="yellow"/>
        </w:rPr>
        <w:t>Dahlquist et al., (2015)</w:t>
      </w:r>
      <w:r w:rsidR="003A0947">
        <w:rPr>
          <w:sz w:val="24"/>
          <w:szCs w:val="24"/>
        </w:rPr>
        <w:t>.</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 xml:space="preserve">. For example, YAP6 has the highest in-degree, 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w:t>
      </w:r>
      <w:r w:rsidRPr="00655BF8">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r w:rsidRPr="00655BF8">
        <w:rPr>
          <w:sz w:val="24"/>
          <w:szCs w:val="24"/>
        </w:rPr>
        <w:t xml:space="preserve">feedforward motifs involving CIN5, ROX1, and YAP6 </w:t>
      </w:r>
      <w:r w:rsidR="000028B1">
        <w:rPr>
          <w:sz w:val="24"/>
          <w:szCs w:val="24"/>
        </w:rPr>
        <w:t>and SKN7, YAP1, and ROX1</w:t>
      </w:r>
      <w:r w:rsidR="00AC583B">
        <w:rPr>
          <w:sz w:val="24"/>
          <w:szCs w:val="24"/>
        </w:rPr>
        <w:t xml:space="preserve"> (</w:t>
      </w:r>
      <w:r w:rsidR="00AC583B" w:rsidRPr="00322102">
        <w:rPr>
          <w:sz w:val="24"/>
          <w:szCs w:val="24"/>
          <w:highlight w:val="yellow"/>
        </w:rPr>
        <w:t>Dahlquist et al., 2015</w:t>
      </w:r>
      <w:r w:rsidR="00AC583B">
        <w:rPr>
          <w:sz w:val="24"/>
          <w:szCs w:val="24"/>
        </w:rPr>
        <w:t>)</w:t>
      </w:r>
      <w:r w:rsidRPr="00655BF8">
        <w:rPr>
          <w:sz w:val="24"/>
          <w:szCs w:val="24"/>
        </w:rPr>
        <w:t>.</w:t>
      </w:r>
    </w:p>
    <w:p w14:paraId="1E5F3592" w14:textId="08CA0F5B"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r w:rsidRPr="00322102">
        <w:rPr>
          <w:sz w:val="24"/>
          <w:szCs w:val="24"/>
          <w:highlight w:val="yellow"/>
        </w:rPr>
        <w:t>Schade et al. (2004)</w:t>
      </w:r>
      <w:r w:rsidRPr="00655BF8">
        <w:rPr>
          <w:sz w:val="24"/>
          <w:szCs w:val="24"/>
        </w:rPr>
        <w:t xml:space="preserve"> using a penalized nonlinear least squares approach.</w:t>
      </w:r>
      <w:r w:rsidR="002B60E3">
        <w:rPr>
          <w:sz w:val="24"/>
          <w:szCs w:val="24"/>
        </w:rPr>
        <w:t xml:space="preserve">  </w:t>
      </w:r>
      <w:r w:rsidRPr="00655BF8">
        <w:rPr>
          <w:sz w:val="24"/>
          <w:szCs w:val="24"/>
        </w:rPr>
        <w:t xml:space="preserve">In particular,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r w:rsidR="00547DC2" w:rsidRPr="00322102">
        <w:rPr>
          <w:sz w:val="24"/>
          <w:szCs w:val="24"/>
          <w:highlight w:val="yellow"/>
        </w:rPr>
        <w:t>Dahlquist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r w:rsidR="00B37244" w:rsidRPr="00322102">
        <w:rPr>
          <w:sz w:val="24"/>
          <w:szCs w:val="24"/>
          <w:highlight w:val="yellow"/>
        </w:rPr>
        <w:t>Dahlquist et al., 2015</w:t>
      </w:r>
      <w:r w:rsidR="00B37244">
        <w:rPr>
          <w:sz w:val="24"/>
          <w:szCs w:val="24"/>
        </w:rPr>
        <w:t>)</w:t>
      </w:r>
      <w:r w:rsidRPr="00655BF8">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Shore and Nasmyth,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16819828"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GenMAPP 2 (</w:t>
      </w:r>
      <w:r w:rsidR="001F7C7C" w:rsidRPr="00DD1CFC">
        <w:rPr>
          <w:sz w:val="24"/>
          <w:szCs w:val="24"/>
          <w:highlight w:val="yellow"/>
        </w:rPr>
        <w:t>Salomonis et al. 2007</w:t>
      </w:r>
      <w:r w:rsidR="001F7C7C">
        <w:rPr>
          <w:sz w:val="24"/>
          <w:szCs w:val="24"/>
        </w:rPr>
        <w:t>)</w:t>
      </w:r>
      <w:r w:rsidRPr="00655BF8">
        <w:rPr>
          <w:sz w:val="24"/>
          <w:szCs w:val="24"/>
        </w:rPr>
        <w:t xml:space="preserve">, based on the time course of expression of that gene in the </w:t>
      </w:r>
      <w:r w:rsidRPr="00322102">
        <w:rPr>
          <w:sz w:val="24"/>
          <w:szCs w:val="24"/>
          <w:highlight w:val="yellow"/>
        </w:rPr>
        <w:t>Schade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currently under development for version 2.</w:t>
      </w:r>
    </w:p>
    <w:p w14:paraId="25F2653A" w14:textId="3D7C7D0B"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or Gephi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r w:rsidR="00716CDE" w:rsidRPr="00322102">
        <w:rPr>
          <w:sz w:val="24"/>
          <w:szCs w:val="24"/>
          <w:highlight w:val="yellow"/>
        </w:rPr>
        <w:t>Dahlquist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r w:rsidR="00716CDE" w:rsidRPr="00322102">
        <w:rPr>
          <w:sz w:val="24"/>
          <w:szCs w:val="24"/>
          <w:highlight w:val="yellow"/>
        </w:rPr>
        <w:t>Harbison et al. (2004)</w:t>
      </w:r>
      <w:r w:rsidR="00716CDE">
        <w:rPr>
          <w:sz w:val="24"/>
          <w:szCs w:val="24"/>
        </w:rPr>
        <w:t xml:space="preserve"> datasets generated by chromatin </w:t>
      </w:r>
      <w:r w:rsidR="00691545">
        <w:rPr>
          <w:sz w:val="24"/>
          <w:szCs w:val="24"/>
        </w:rPr>
        <w:t>immunoprecipitation</w:t>
      </w:r>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r w:rsidRPr="00322102">
        <w:rPr>
          <w:sz w:val="24"/>
          <w:szCs w:val="24"/>
          <w:highlight w:val="yellow"/>
        </w:rPr>
        <w:t>Veretnik, Fink, and Bourne (2008)</w:t>
      </w:r>
      <w:r>
        <w:rPr>
          <w:sz w:val="24"/>
          <w:szCs w:val="24"/>
        </w:rPr>
        <w:t xml:space="preserve"> lament </w:t>
      </w:r>
      <w:r w:rsidR="00773FE9">
        <w:rPr>
          <w:sz w:val="24"/>
          <w:szCs w:val="24"/>
        </w:rPr>
        <w:t xml:space="preserve">and </w:t>
      </w:r>
      <w:r w:rsidR="00773FE9" w:rsidRPr="00322102">
        <w:rPr>
          <w:sz w:val="24"/>
          <w:szCs w:val="24"/>
          <w:highlight w:val="yellow"/>
        </w:rPr>
        <w:t>Schultheiss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(Schultheiss</w:t>
      </w:r>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 xml:space="preserve">since the project inception in January 2014, </w:t>
      </w:r>
      <w:r>
        <w:rPr>
          <w:sz w:val="24"/>
          <w:szCs w:val="24"/>
        </w:rPr>
        <w:t>with our code available under the open source BSD license at the public GitHub repository</w:t>
      </w:r>
      <w:r w:rsidR="006C5787">
        <w:rPr>
          <w:sz w:val="24"/>
          <w:szCs w:val="24"/>
        </w:rPr>
        <w:t>, where we also track requirements, issues, and bugs</w:t>
      </w:r>
      <w:r>
        <w:rPr>
          <w:sz w:val="24"/>
          <w:szCs w:val="24"/>
        </w:rPr>
        <w:t xml:space="preserve">.  </w:t>
      </w:r>
      <w:r w:rsidR="00875BC2">
        <w:rPr>
          <w:sz w:val="24"/>
          <w:szCs w:val="24"/>
        </w:rPr>
        <w:t xml:space="preserve">Indeed, our </w:t>
      </w:r>
      <w:r w:rsidR="00875BC2">
        <w:rPr>
          <w:sz w:val="24"/>
          <w:szCs w:val="24"/>
        </w:rPr>
        <w:lastRenderedPageBreak/>
        <w:t xml:space="preserve">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 xml:space="preserve">The lead authors (Dahlquist,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 xml:space="preserve">(Anguiano, Varshneya, Southwick, and Samdarshi)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r w:rsidR="00875BC2" w:rsidRPr="00AC2289">
        <w:rPr>
          <w:sz w:val="24"/>
          <w:szCs w:val="24"/>
          <w:highlight w:val="yellow"/>
        </w:rPr>
        <w:t>Lawlor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r w:rsidR="008F3980" w:rsidRPr="00322102">
        <w:rPr>
          <w:sz w:val="24"/>
          <w:szCs w:val="24"/>
          <w:highlight w:val="yellow"/>
        </w:rPr>
        <w:t>Lawlor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Dionisio and Dahlquist,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5917E349" w:rsidR="00A74790" w:rsidRDefault="008213EE" w:rsidP="008213EE">
      <w:pPr>
        <w:spacing w:before="240" w:after="240" w:line="480" w:lineRule="auto"/>
        <w:ind w:firstLine="720"/>
        <w:rPr>
          <w:sz w:val="24"/>
          <w:szCs w:val="24"/>
        </w:rPr>
      </w:pPr>
      <w:r>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Pr>
          <w:sz w:val="24"/>
          <w:szCs w:val="24"/>
        </w:rPr>
        <w:t xml:space="preserve">the </w:t>
      </w:r>
      <w:r>
        <w:rPr>
          <w:sz w:val="24"/>
          <w:szCs w:val="24"/>
        </w:rPr>
        <w:t xml:space="preserve">regulators are in columns and the target genes </w:t>
      </w:r>
      <w:r w:rsidR="00837012">
        <w:rPr>
          <w:sz w:val="24"/>
          <w:szCs w:val="24"/>
        </w:rPr>
        <w:t>in rows, and automatically lays out and displays</w:t>
      </w:r>
      <w:r>
        <w:rPr>
          <w:sz w:val="24"/>
          <w:szCs w:val="24"/>
        </w:rPr>
        <w:t xml:space="preserve"> </w:t>
      </w:r>
      <w:r>
        <w:rPr>
          <w:sz w:val="24"/>
          <w:szCs w:val="24"/>
        </w:rPr>
        <w:lastRenderedPageBreak/>
        <w:t>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r w:rsidRPr="00837012">
        <w:rPr>
          <w:sz w:val="24"/>
          <w:szCs w:val="24"/>
          <w:highlight w:val="yellow"/>
        </w:rPr>
        <w:t>Dahlquist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2E5CBA98"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Sherbina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maintaining the </w:t>
      </w:r>
      <w:r w:rsidR="00204275">
        <w:rPr>
          <w:sz w:val="24"/>
          <w:szCs w:val="24"/>
        </w:rPr>
        <w:t xml:space="preserve">GRNsight </w:t>
      </w:r>
      <w:r w:rsidR="00985EF5" w:rsidRPr="007005C7">
        <w:rPr>
          <w:sz w:val="24"/>
          <w:szCs w:val="24"/>
        </w:rPr>
        <w:t xml:space="preserve">server </w:t>
      </w:r>
      <w:r w:rsidR="00985EF5" w:rsidRPr="007005C7">
        <w:rPr>
          <w:sz w:val="24"/>
          <w:szCs w:val="24"/>
          <w:highlight w:val="cyan"/>
        </w:rPr>
        <w:t>[phrasing?]</w:t>
      </w:r>
      <w:r w:rsidR="00985EF5" w:rsidRPr="007005C7">
        <w:rPr>
          <w:sz w:val="24"/>
          <w:szCs w:val="24"/>
        </w:rPr>
        <w:t>.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r w:rsidR="00CA4EA9" w:rsidRPr="007005C7">
        <w:rPr>
          <w:sz w:val="24"/>
          <w:szCs w:val="24"/>
        </w:rPr>
        <w:t xml:space="preserve">Chukwuemeka E. Azinge,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r w:rsidR="003320F4" w:rsidRPr="007005C7">
        <w:rPr>
          <w:sz w:val="24"/>
          <w:szCs w:val="24"/>
        </w:rPr>
        <w:t xml:space="preserve">Horstmann,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r w:rsidR="002439B3" w:rsidRPr="007005C7">
        <w:rPr>
          <w:sz w:val="24"/>
          <w:szCs w:val="24"/>
        </w:rPr>
        <w:t xml:space="preserve">Roque,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Biomathematical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This work was partially supported by NSF award 0921038 (B.G.F, K.D.D), a Kadner-Pitts Research Grant (K.D.D.), the Loyola Marymount University Summer Undergraduate 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lastRenderedPageBreak/>
        <w:t>References</w:t>
      </w:r>
    </w:p>
    <w:p w14:paraId="11495E50"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Bastian M., Heymann S., Jacomy M. 2009. Gephi: an open source software for exploring and manipulating networks. </w:t>
      </w:r>
      <w:r>
        <w:rPr>
          <w:rFonts w:cs="Times New Roman"/>
          <w:i/>
          <w:iCs/>
          <w:sz w:val="24"/>
          <w:szCs w:val="24"/>
        </w:rPr>
        <w:t>Third International AAAI Conference on Weblogs and Social Media</w:t>
      </w:r>
      <w:r>
        <w:rPr>
          <w:rFonts w:cs="Times New Roman"/>
          <w:sz w:val="24"/>
          <w:szCs w:val="24"/>
        </w:rPr>
        <w:t xml:space="preserve"> 8:361–362.</w:t>
      </w:r>
    </w:p>
    <w:p w14:paraId="46B3DBA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Bostock M., Ogievetsky V., Heer J. 2011. D</w:t>
      </w:r>
      <w:r>
        <w:rPr>
          <w:rFonts w:cs="Times New Roman"/>
          <w:sz w:val="24"/>
          <w:szCs w:val="24"/>
          <w:vertAlign w:val="superscript"/>
        </w:rPr>
        <w:t>3</w:t>
      </w:r>
      <w:r>
        <w:rPr>
          <w:rFonts w:cs="Times New Roman"/>
          <w:sz w:val="24"/>
          <w:szCs w:val="24"/>
        </w:rPr>
        <w:t xml:space="preserve">: Data-Driven Documents. </w:t>
      </w:r>
      <w:r>
        <w:rPr>
          <w:rFonts w:cs="Times New Roman"/>
          <w:i/>
          <w:iCs/>
          <w:sz w:val="24"/>
          <w:szCs w:val="24"/>
        </w:rPr>
        <w:t>IEEE transactions on visualization and computer graphics</w:t>
      </w:r>
      <w:r>
        <w:rPr>
          <w:rFonts w:cs="Times New Roman"/>
          <w:sz w:val="24"/>
          <w:szCs w:val="24"/>
        </w:rPr>
        <w:t xml:space="preserve"> 17:2301–2309. DOI: 10.1109/TVCG.2011.185.</w:t>
      </w:r>
    </w:p>
    <w:p w14:paraId="7CFDB502" w14:textId="77777777" w:rsidR="00BB6C88" w:rsidRDefault="00BB6C88" w:rsidP="00BB6C88">
      <w:pPr>
        <w:widowControl w:val="0"/>
        <w:autoSpaceDE w:val="0"/>
        <w:autoSpaceDN w:val="0"/>
        <w:adjustRightInd w:val="0"/>
        <w:spacing w:line="480" w:lineRule="auto"/>
        <w:ind w:left="720" w:hanging="720"/>
        <w:rPr>
          <w:rFonts w:cs="Times New Roman"/>
          <w:sz w:val="24"/>
          <w:szCs w:val="24"/>
        </w:rPr>
      </w:pPr>
      <w:r>
        <w:rPr>
          <w:rFonts w:cs="Times New Roman"/>
          <w:sz w:val="24"/>
          <w:szCs w:val="24"/>
        </w:rPr>
        <w:t xml:space="preserve">Brown E. 2014. </w:t>
      </w:r>
      <w:r>
        <w:rPr>
          <w:rFonts w:cs="Times New Roman"/>
          <w:i/>
          <w:iCs/>
          <w:sz w:val="24"/>
          <w:szCs w:val="24"/>
        </w:rPr>
        <w:t>Web development with Node and Express</w:t>
      </w:r>
      <w:r>
        <w:rPr>
          <w:rFonts w:cs="Times New Roman"/>
          <w:sz w:val="24"/>
          <w:szCs w:val="24"/>
        </w:rPr>
        <w:t>. Beijing ; Sebastopol, CA: O’Reilly.</w:t>
      </w:r>
    </w:p>
    <w:p w14:paraId="2C1601C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Dahlquist KD., Fitzpatrick BG., Camacho ET., Entzminger SD., Wanner NC. 2015. Parameter Estimation for Gene Regulatory Networks from Microarray Data: Cold Shock Response in Saccharomyces cerevisiae. </w:t>
      </w:r>
      <w:r>
        <w:rPr>
          <w:rFonts w:cs="Times New Roman"/>
          <w:i/>
          <w:iCs/>
          <w:sz w:val="24"/>
          <w:szCs w:val="24"/>
        </w:rPr>
        <w:t>Bulletin of Mathematical Biology</w:t>
      </w:r>
      <w:r>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Dionisio JDN., Dahlquist KD. 2008. Improving the computer science in bioinformatics through open source pedagogy.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lastRenderedPageBreak/>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1D7CD844" w14:textId="1077DF36" w:rsidR="00BB6C88" w:rsidRPr="00BB6C88" w:rsidRDefault="00BB6C88" w:rsidP="00BB6C88">
      <w:pPr>
        <w:widowControl w:val="0"/>
        <w:tabs>
          <w:tab w:val="left" w:pos="360"/>
        </w:tabs>
        <w:autoSpaceDE w:val="0"/>
        <w:autoSpaceDN w:val="0"/>
        <w:adjustRightInd w:val="0"/>
        <w:spacing w:line="480" w:lineRule="auto"/>
        <w:ind w:left="360" w:hanging="360"/>
        <w:rPr>
          <w:rFonts w:cs="Times New Roman"/>
          <w:sz w:val="24"/>
          <w:szCs w:val="24"/>
          <w:highlight w:val="cyan"/>
        </w:rPr>
      </w:pPr>
      <w:r w:rsidRPr="00BB6C88">
        <w:rPr>
          <w:rFonts w:cs="Times New Roman"/>
          <w:sz w:val="24"/>
          <w:szCs w:val="24"/>
          <w:highlight w:val="cyan"/>
        </w:rPr>
        <w:t xml:space="preserve">Martin RC., Melnik G. 2008. Tests and Requirements, Requirements and Tests: A Mӧbius Strip. </w:t>
      </w:r>
      <w:r w:rsidRPr="00BB6C88">
        <w:rPr>
          <w:rFonts w:cs="Times New Roman"/>
          <w:i/>
          <w:iCs/>
          <w:sz w:val="24"/>
          <w:szCs w:val="24"/>
          <w:highlight w:val="cyan"/>
        </w:rPr>
        <w:t>IEEE Software</w:t>
      </w:r>
      <w:r w:rsidRPr="00BB6C88">
        <w:rPr>
          <w:rFonts w:cs="Times New Roman"/>
          <w:sz w:val="24"/>
          <w:szCs w:val="24"/>
          <w:highlight w:val="cyan"/>
        </w:rPr>
        <w:t xml:space="preserve"> 25:54–59. DOI: 10.1109/MS.2008.24.</w:t>
      </w:r>
    </w:p>
    <w:p w14:paraId="598166D1" w14:textId="77777777" w:rsidR="00BB6C88" w:rsidRPr="00BB6C88" w:rsidRDefault="00BB6C88" w:rsidP="00BB6C88">
      <w:pPr>
        <w:widowControl w:val="0"/>
        <w:autoSpaceDE w:val="0"/>
        <w:autoSpaceDN w:val="0"/>
        <w:adjustRightInd w:val="0"/>
        <w:spacing w:line="480" w:lineRule="auto"/>
        <w:ind w:left="720" w:hanging="720"/>
        <w:rPr>
          <w:rFonts w:cs="Times New Roman"/>
          <w:sz w:val="24"/>
          <w:szCs w:val="24"/>
          <w:highlight w:val="cyan"/>
        </w:rPr>
      </w:pPr>
      <w:r w:rsidRPr="00BB6C88">
        <w:rPr>
          <w:rFonts w:cs="Times New Roman"/>
          <w:sz w:val="24"/>
          <w:szCs w:val="24"/>
          <w:highlight w:val="cyan"/>
        </w:rPr>
        <w:t xml:space="preserve">Nielsen J. 1993. Iterative user-interface design. </w:t>
      </w:r>
      <w:r w:rsidRPr="00BB6C88">
        <w:rPr>
          <w:rFonts w:cs="Times New Roman"/>
          <w:i/>
          <w:iCs/>
          <w:sz w:val="24"/>
          <w:szCs w:val="24"/>
          <w:highlight w:val="cyan"/>
        </w:rPr>
        <w:t>Computer</w:t>
      </w:r>
      <w:r w:rsidRPr="00BB6C88">
        <w:rPr>
          <w:rFonts w:cs="Times New Roman"/>
          <w:sz w:val="24"/>
          <w:szCs w:val="24"/>
          <w:highlight w:val="cyan"/>
        </w:rPr>
        <w:t xml:space="preserve"> 26:32–41. DOI: 10.1109/2.241424.</w:t>
      </w:r>
    </w:p>
    <w:p w14:paraId="63F0F47E" w14:textId="77777777" w:rsidR="00BB6C88" w:rsidRPr="00CF0215" w:rsidRDefault="00BB6C88" w:rsidP="00BB6C88">
      <w:pPr>
        <w:spacing w:line="480" w:lineRule="auto"/>
        <w:ind w:left="450" w:hanging="480"/>
        <w:rPr>
          <w:rFonts w:eastAsia="Times New Roman" w:cs="Times New Roman"/>
          <w:sz w:val="24"/>
          <w:szCs w:val="24"/>
        </w:rPr>
      </w:pPr>
      <w:r w:rsidRPr="00CF0215">
        <w:rPr>
          <w:rFonts w:eastAsia="Times New Roman" w:cs="Times New Roman"/>
          <w:sz w:val="24"/>
          <w:szCs w:val="24"/>
          <w:highlight w:val="cyan"/>
        </w:rPr>
        <w:t xml:space="preserve">Norman DA. 2013. </w:t>
      </w:r>
      <w:r w:rsidRPr="00CF0215">
        <w:rPr>
          <w:rFonts w:eastAsia="Times New Roman" w:cs="Times New Roman"/>
          <w:i/>
          <w:iCs/>
          <w:sz w:val="24"/>
          <w:szCs w:val="24"/>
          <w:highlight w:val="cyan"/>
        </w:rPr>
        <w:t>The design of everyday things</w:t>
      </w:r>
      <w:r w:rsidRPr="00CF0215">
        <w:rPr>
          <w:rFonts w:eastAsia="Times New Roman" w:cs="Times New Roman"/>
          <w:sz w:val="24"/>
          <w:szCs w:val="24"/>
          <w:highlight w:val="cyan"/>
        </w:rPr>
        <w:t>. New York, New York: Basic Books.</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w:t>
      </w:r>
      <w:r>
        <w:rPr>
          <w:rFonts w:cs="Times New Roman"/>
          <w:sz w:val="24"/>
          <w:szCs w:val="24"/>
        </w:rPr>
        <w:lastRenderedPageBreak/>
        <w:t>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0CF3B36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sidRPr="00BB6C88">
        <w:rPr>
          <w:rFonts w:cs="Times New Roman"/>
          <w:sz w:val="24"/>
          <w:szCs w:val="24"/>
          <w:highlight w:val="cyan"/>
        </w:rPr>
        <w:t xml:space="preserve">Shneiderman B., Plaisant C., Cohen M., Jacobs S. 2010. </w:t>
      </w:r>
      <w:r w:rsidRPr="00BB6C88">
        <w:rPr>
          <w:rFonts w:cs="Times New Roman"/>
          <w:i/>
          <w:iCs/>
          <w:sz w:val="24"/>
          <w:szCs w:val="24"/>
          <w:highlight w:val="cyan"/>
        </w:rPr>
        <w:t>Designing the user interface: strategies for effective human-computer interaction</w:t>
      </w:r>
      <w:r w:rsidRPr="00BB6C88">
        <w:rPr>
          <w:rFonts w:cs="Times New Roman"/>
          <w:sz w:val="24"/>
          <w:szCs w:val="24"/>
          <w:highlight w:val="cyan"/>
        </w:rPr>
        <w:t>. Boston: Addison-Wesley.</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Nucleic Acids 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A71E6" w14:textId="77777777" w:rsidR="00B73779" w:rsidRDefault="00B73779" w:rsidP="00C60395">
      <w:r>
        <w:separator/>
      </w:r>
    </w:p>
  </w:endnote>
  <w:endnote w:type="continuationSeparator" w:id="0">
    <w:p w14:paraId="48C05EC3" w14:textId="77777777" w:rsidR="00B73779" w:rsidRDefault="00B73779"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0C6EB5" w:rsidRDefault="000C6EB5">
        <w:pPr>
          <w:pStyle w:val="Footer"/>
          <w:jc w:val="center"/>
        </w:pPr>
        <w:r>
          <w:fldChar w:fldCharType="begin"/>
        </w:r>
        <w:r>
          <w:instrText xml:space="preserve"> PAGE   \* MERGEFORMAT </w:instrText>
        </w:r>
        <w:r>
          <w:fldChar w:fldCharType="separate"/>
        </w:r>
        <w:r w:rsidR="002421BC">
          <w:rPr>
            <w:noProof/>
          </w:rPr>
          <w:t>21</w:t>
        </w:r>
        <w:r>
          <w:rPr>
            <w:noProof/>
          </w:rPr>
          <w:fldChar w:fldCharType="end"/>
        </w:r>
      </w:p>
    </w:sdtContent>
  </w:sdt>
  <w:p w14:paraId="0BC4A245" w14:textId="77777777" w:rsidR="000C6EB5" w:rsidRDefault="000C6E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155A35" w14:textId="77777777" w:rsidR="00B73779" w:rsidRDefault="00B73779" w:rsidP="00C60395">
      <w:r>
        <w:separator/>
      </w:r>
    </w:p>
  </w:footnote>
  <w:footnote w:type="continuationSeparator" w:id="0">
    <w:p w14:paraId="1A74A4B9" w14:textId="77777777" w:rsidR="00B73779" w:rsidRDefault="00B73779"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69BB"/>
    <w:rsid w:val="00027C53"/>
    <w:rsid w:val="00030853"/>
    <w:rsid w:val="00031465"/>
    <w:rsid w:val="000317D2"/>
    <w:rsid w:val="00033026"/>
    <w:rsid w:val="00036DB6"/>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7A5A"/>
    <w:rsid w:val="001E0CDA"/>
    <w:rsid w:val="001E12CC"/>
    <w:rsid w:val="001E2157"/>
    <w:rsid w:val="001E26A3"/>
    <w:rsid w:val="001E403F"/>
    <w:rsid w:val="001E4822"/>
    <w:rsid w:val="001E486D"/>
    <w:rsid w:val="001E655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2102"/>
    <w:rsid w:val="003231E5"/>
    <w:rsid w:val="00323788"/>
    <w:rsid w:val="00323BF1"/>
    <w:rsid w:val="00324247"/>
    <w:rsid w:val="00325A68"/>
    <w:rsid w:val="00330A66"/>
    <w:rsid w:val="003314BA"/>
    <w:rsid w:val="003320F4"/>
    <w:rsid w:val="00332A81"/>
    <w:rsid w:val="0033308F"/>
    <w:rsid w:val="0033417E"/>
    <w:rsid w:val="00337A9D"/>
    <w:rsid w:val="00337F6C"/>
    <w:rsid w:val="003410ED"/>
    <w:rsid w:val="0034213B"/>
    <w:rsid w:val="0034222E"/>
    <w:rsid w:val="00342E71"/>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6411"/>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A69"/>
    <w:rsid w:val="006E3FFE"/>
    <w:rsid w:val="006E4853"/>
    <w:rsid w:val="006E7BF6"/>
    <w:rsid w:val="006F11D5"/>
    <w:rsid w:val="006F19E3"/>
    <w:rsid w:val="006F1C27"/>
    <w:rsid w:val="006F1DFF"/>
    <w:rsid w:val="006F1E01"/>
    <w:rsid w:val="006F3A36"/>
    <w:rsid w:val="006F4007"/>
    <w:rsid w:val="006F4313"/>
    <w:rsid w:val="006F4725"/>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2051"/>
    <w:rsid w:val="00853189"/>
    <w:rsid w:val="00853507"/>
    <w:rsid w:val="008544CA"/>
    <w:rsid w:val="008545AD"/>
    <w:rsid w:val="008566E6"/>
    <w:rsid w:val="008613A2"/>
    <w:rsid w:val="00864B6C"/>
    <w:rsid w:val="00865401"/>
    <w:rsid w:val="00866FF3"/>
    <w:rsid w:val="00867778"/>
    <w:rsid w:val="00870165"/>
    <w:rsid w:val="00870330"/>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670B"/>
    <w:rsid w:val="008F6718"/>
    <w:rsid w:val="008F67B1"/>
    <w:rsid w:val="008F7160"/>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5CF"/>
    <w:rsid w:val="0097377F"/>
    <w:rsid w:val="00973A1A"/>
    <w:rsid w:val="00973CCF"/>
    <w:rsid w:val="009777B0"/>
    <w:rsid w:val="00980683"/>
    <w:rsid w:val="00980F04"/>
    <w:rsid w:val="0098177A"/>
    <w:rsid w:val="00982BAB"/>
    <w:rsid w:val="00985EF5"/>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5532"/>
    <w:rsid w:val="00B05A35"/>
    <w:rsid w:val="00B05BB4"/>
    <w:rsid w:val="00B07AB6"/>
    <w:rsid w:val="00B07B24"/>
    <w:rsid w:val="00B1061F"/>
    <w:rsid w:val="00B11BF6"/>
    <w:rsid w:val="00B128EB"/>
    <w:rsid w:val="00B12B15"/>
    <w:rsid w:val="00B13593"/>
    <w:rsid w:val="00B15B95"/>
    <w:rsid w:val="00B1698E"/>
    <w:rsid w:val="00B17AAE"/>
    <w:rsid w:val="00B20BCC"/>
    <w:rsid w:val="00B21C59"/>
    <w:rsid w:val="00B21FBF"/>
    <w:rsid w:val="00B222F8"/>
    <w:rsid w:val="00B2325A"/>
    <w:rsid w:val="00B245EA"/>
    <w:rsid w:val="00B26311"/>
    <w:rsid w:val="00B270BF"/>
    <w:rsid w:val="00B27484"/>
    <w:rsid w:val="00B27720"/>
    <w:rsid w:val="00B319B6"/>
    <w:rsid w:val="00B34FB9"/>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3154A"/>
    <w:rsid w:val="00D324E0"/>
    <w:rsid w:val="00D32E22"/>
    <w:rsid w:val="00D34461"/>
    <w:rsid w:val="00D348FB"/>
    <w:rsid w:val="00D34D93"/>
    <w:rsid w:val="00D35ECF"/>
    <w:rsid w:val="00D37376"/>
    <w:rsid w:val="00D40FB5"/>
    <w:rsid w:val="00D41102"/>
    <w:rsid w:val="00D4120C"/>
    <w:rsid w:val="00D43DD9"/>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169C"/>
    <w:rsid w:val="00F230D2"/>
    <w:rsid w:val="00F25979"/>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508A6AA8-88AE-4E7C-A145-58E32BC5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597</TotalTime>
  <Pages>25</Pages>
  <Words>5971</Words>
  <Characters>34035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39927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119</cp:revision>
  <cp:lastPrinted>2016-05-11T16:43:00Z</cp:lastPrinted>
  <dcterms:created xsi:type="dcterms:W3CDTF">2016-05-03T21:12:00Z</dcterms:created>
  <dcterms:modified xsi:type="dcterms:W3CDTF">2016-05-11T19:14:00Z</dcterms:modified>
</cp:coreProperties>
</file>